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4E89D" w14:textId="77777777" w:rsidR="008B1642" w:rsidRPr="00725E74" w:rsidRDefault="008B1642" w:rsidP="00725E74">
      <w:pPr>
        <w:shd w:val="clear" w:color="auto" w:fill="FFFFFF"/>
        <w:tabs>
          <w:tab w:val="num" w:pos="720"/>
        </w:tabs>
        <w:spacing w:before="100" w:beforeAutospacing="1" w:after="100" w:afterAutospacing="1" w:line="240" w:lineRule="auto"/>
        <w:ind w:left="720" w:hanging="360"/>
        <w:jc w:val="center"/>
        <w:rPr>
          <w:rFonts w:ascii="Garamond" w:hAnsi="Garamond"/>
          <w:b/>
          <w:bCs/>
          <w:sz w:val="28"/>
          <w:szCs w:val="28"/>
        </w:rPr>
      </w:pPr>
    </w:p>
    <w:p w14:paraId="1EAF1F23" w14:textId="77777777" w:rsidR="008B1642" w:rsidRPr="00725E74" w:rsidRDefault="008B1642" w:rsidP="00725E74">
      <w:pPr>
        <w:spacing w:line="240" w:lineRule="auto"/>
        <w:jc w:val="center"/>
        <w:rPr>
          <w:rFonts w:ascii="Garamond" w:eastAsia="Times New Roman" w:hAnsi="Garamond" w:cs="Times New Roman"/>
          <w:b/>
          <w:bCs/>
          <w:sz w:val="28"/>
          <w:szCs w:val="28"/>
        </w:rPr>
      </w:pPr>
      <w:r w:rsidRPr="00725E74">
        <w:rPr>
          <w:rFonts w:ascii="Garamond" w:eastAsia="Times New Roman" w:hAnsi="Garamond" w:cs="Times New Roman"/>
          <w:b/>
          <w:bCs/>
          <w:sz w:val="28"/>
          <w:szCs w:val="28"/>
        </w:rPr>
        <w:t>QUALIFYING EXAM</w:t>
      </w:r>
    </w:p>
    <w:p w14:paraId="74AE4321" w14:textId="3E340193" w:rsidR="008B1642" w:rsidRPr="00725E74" w:rsidRDefault="008B1642" w:rsidP="00725E74">
      <w:pPr>
        <w:spacing w:line="240" w:lineRule="auto"/>
        <w:jc w:val="center"/>
        <w:rPr>
          <w:rFonts w:ascii="Garamond" w:eastAsia="Times New Roman" w:hAnsi="Garamond" w:cs="Times New Roman"/>
          <w:b/>
          <w:bCs/>
          <w:sz w:val="28"/>
          <w:szCs w:val="28"/>
        </w:rPr>
      </w:pPr>
      <w:r w:rsidRPr="00725E74">
        <w:rPr>
          <w:rFonts w:ascii="Garamond" w:eastAsia="Times New Roman" w:hAnsi="Garamond" w:cs="Times New Roman"/>
          <w:b/>
          <w:bCs/>
          <w:sz w:val="28"/>
          <w:szCs w:val="28"/>
        </w:rPr>
        <w:t>Law and Society</w:t>
      </w:r>
    </w:p>
    <w:p w14:paraId="5B9DD0AB" w14:textId="2DD72D5F" w:rsidR="008B1642" w:rsidRPr="00725E74" w:rsidRDefault="008B1642" w:rsidP="00725E74">
      <w:pPr>
        <w:spacing w:line="240" w:lineRule="auto"/>
        <w:jc w:val="both"/>
        <w:rPr>
          <w:rFonts w:ascii="Garamond" w:eastAsia="Times New Roman" w:hAnsi="Garamond" w:cs="Times New Roman"/>
        </w:rPr>
      </w:pPr>
      <w:r w:rsidRPr="00725E74">
        <w:rPr>
          <w:rFonts w:ascii="Garamond" w:eastAsia="Times New Roman" w:hAnsi="Garamond" w:cs="Times New Roman"/>
        </w:rPr>
        <w:t xml:space="preserve">The questions below are the qualifying exam </w:t>
      </w:r>
      <w:proofErr w:type="gramStart"/>
      <w:r w:rsidRPr="00725E74">
        <w:rPr>
          <w:rFonts w:ascii="Garamond" w:eastAsia="Times New Roman" w:hAnsi="Garamond" w:cs="Times New Roman"/>
        </w:rPr>
        <w:t>in the area of</w:t>
      </w:r>
      <w:proofErr w:type="gramEnd"/>
      <w:r w:rsidRPr="00725E74">
        <w:rPr>
          <w:rFonts w:ascii="Garamond" w:eastAsia="Times New Roman" w:hAnsi="Garamond" w:cs="Times New Roman"/>
        </w:rPr>
        <w:t xml:space="preserve"> Law and Society.  You must answer one question from each of the three sections below in an essay format.  Each answer should be a self-contained essay approximately 8–10 pages long (i.e., 2,000–2,500 words). In the essay, you must cite referenced works and include a bibliography. One comprehensive bibliography for all three questions will be sufficient. You may consult materials from the reading list you’ve been provided, as well as any other scholarly sources you’ve read during the exam period. </w:t>
      </w:r>
    </w:p>
    <w:p w14:paraId="00E6796F" w14:textId="199BFE7D" w:rsidR="008B1642" w:rsidRPr="00725E74" w:rsidRDefault="008B1642" w:rsidP="00725E74">
      <w:pPr>
        <w:spacing w:line="240" w:lineRule="auto"/>
        <w:jc w:val="both"/>
        <w:rPr>
          <w:rFonts w:ascii="Garamond" w:eastAsia="Times New Roman" w:hAnsi="Garamond" w:cs="Times New Roman"/>
        </w:rPr>
      </w:pPr>
      <w:r w:rsidRPr="00725E74">
        <w:rPr>
          <w:rFonts w:ascii="Garamond" w:eastAsia="Times New Roman" w:hAnsi="Garamond" w:cs="Times New Roman"/>
        </w:rPr>
        <w:t>Please submit your responses to the questions no later than____.</w:t>
      </w:r>
    </w:p>
    <w:p w14:paraId="0B5136E7" w14:textId="77777777" w:rsidR="00725E74" w:rsidRDefault="00725E74" w:rsidP="00725E74">
      <w:pPr>
        <w:spacing w:after="0" w:line="240" w:lineRule="auto"/>
        <w:jc w:val="both"/>
        <w:rPr>
          <w:rFonts w:ascii="Garamond" w:eastAsia="Times New Roman" w:hAnsi="Garamond" w:cs="Times New Roman"/>
          <w:b/>
          <w:bCs/>
        </w:rPr>
      </w:pPr>
    </w:p>
    <w:p w14:paraId="0362BE4D" w14:textId="5D7E66FC" w:rsidR="008B1642" w:rsidRPr="00725E74" w:rsidRDefault="008B1642" w:rsidP="00725E74">
      <w:pPr>
        <w:pStyle w:val="ListParagraph"/>
        <w:numPr>
          <w:ilvl w:val="0"/>
          <w:numId w:val="5"/>
        </w:numPr>
        <w:spacing w:after="0" w:line="240" w:lineRule="auto"/>
        <w:jc w:val="both"/>
        <w:rPr>
          <w:rFonts w:ascii="Garamond" w:eastAsia="Times New Roman" w:hAnsi="Garamond" w:cs="Times New Roman"/>
          <w:b/>
          <w:bCs/>
        </w:rPr>
      </w:pPr>
      <w:r w:rsidRPr="00725E74">
        <w:rPr>
          <w:rFonts w:ascii="Garamond" w:eastAsia="Times New Roman" w:hAnsi="Garamond" w:cs="Times New Roman"/>
          <w:b/>
          <w:bCs/>
        </w:rPr>
        <w:t xml:space="preserve">Choose </w:t>
      </w:r>
      <w:r w:rsidR="00725E74" w:rsidRPr="00725E74">
        <w:rPr>
          <w:rFonts w:ascii="Garamond" w:eastAsia="Times New Roman" w:hAnsi="Garamond" w:cs="Times New Roman"/>
          <w:b/>
          <w:bCs/>
        </w:rPr>
        <w:t xml:space="preserve">and answer </w:t>
      </w:r>
      <w:r w:rsidRPr="00725E74">
        <w:rPr>
          <w:rFonts w:ascii="Garamond" w:eastAsia="Times New Roman" w:hAnsi="Garamond" w:cs="Times New Roman"/>
          <w:b/>
          <w:bCs/>
        </w:rPr>
        <w:t>one of the following</w:t>
      </w:r>
      <w:r w:rsidR="00725E74" w:rsidRPr="00725E74">
        <w:rPr>
          <w:rFonts w:ascii="Garamond" w:eastAsia="Times New Roman" w:hAnsi="Garamond" w:cs="Times New Roman"/>
          <w:b/>
          <w:bCs/>
        </w:rPr>
        <w:t xml:space="preserve"> questions</w:t>
      </w:r>
      <w:r w:rsidRPr="00725E74">
        <w:rPr>
          <w:rFonts w:ascii="Garamond" w:eastAsia="Times New Roman" w:hAnsi="Garamond" w:cs="Times New Roman"/>
          <w:b/>
          <w:bCs/>
        </w:rPr>
        <w:t>:</w:t>
      </w:r>
    </w:p>
    <w:p w14:paraId="2F3B7DA0" w14:textId="50BBE153" w:rsidR="00725E74" w:rsidRPr="00725E74" w:rsidRDefault="00725E74" w:rsidP="00725E74">
      <w:pPr>
        <w:shd w:val="clear" w:color="auto" w:fill="FFFFFF"/>
        <w:spacing w:before="100" w:beforeAutospacing="1" w:after="100" w:afterAutospacing="1" w:line="240" w:lineRule="auto"/>
        <w:jc w:val="both"/>
        <w:rPr>
          <w:rFonts w:ascii="Garamond" w:eastAsia="Times New Roman" w:hAnsi="Garamond" w:cs="Times New Roman"/>
          <w:b/>
          <w:bCs/>
        </w:rPr>
      </w:pPr>
      <w:r w:rsidRPr="00725E74">
        <w:rPr>
          <w:rFonts w:ascii="Garamond" w:eastAsia="Times New Roman" w:hAnsi="Garamond" w:cs="Times New Roman"/>
          <w:b/>
          <w:bCs/>
        </w:rPr>
        <w:t xml:space="preserve">Question 1: </w:t>
      </w:r>
    </w:p>
    <w:p w14:paraId="615EED19" w14:textId="33F3E8EC" w:rsidR="00725E74" w:rsidRDefault="008B1642" w:rsidP="00725E74">
      <w:pPr>
        <w:shd w:val="clear" w:color="auto" w:fill="FFFFFF"/>
        <w:spacing w:before="100" w:beforeAutospacing="1" w:after="100" w:afterAutospacing="1" w:line="240" w:lineRule="auto"/>
        <w:jc w:val="both"/>
        <w:rPr>
          <w:rFonts w:ascii="Garamond" w:eastAsia="Times New Roman" w:hAnsi="Garamond" w:cs="Times New Roman"/>
          <w:color w:val="000000"/>
          <w:kern w:val="0"/>
          <w14:ligatures w14:val="none"/>
        </w:rPr>
      </w:pPr>
      <w:r w:rsidRPr="008B1642">
        <w:rPr>
          <w:rFonts w:ascii="Garamond" w:eastAsia="Times New Roman" w:hAnsi="Garamond" w:cs="Times New Roman"/>
          <w:color w:val="000000"/>
          <w:kern w:val="0"/>
          <w14:ligatures w14:val="none"/>
        </w:rPr>
        <w:t xml:space="preserve">"Law on the books" versus "law in action" is a central theme in law and society scholarship. First, explain what this tension is. Then, drawing on two areas from the reading list (e.g., organizations, courts, rights, etc.), describe how this disjuncture plays out in these domains. Be sure to draw on specific evidence and examples from the </w:t>
      </w:r>
      <w:proofErr w:type="gramStart"/>
      <w:r w:rsidRPr="008B1642">
        <w:rPr>
          <w:rFonts w:ascii="Garamond" w:eastAsia="Times New Roman" w:hAnsi="Garamond" w:cs="Times New Roman"/>
          <w:color w:val="000000"/>
          <w:kern w:val="0"/>
          <w14:ligatures w14:val="none"/>
        </w:rPr>
        <w:t>readings, and</w:t>
      </w:r>
      <w:proofErr w:type="gramEnd"/>
      <w:r w:rsidRPr="008B1642">
        <w:rPr>
          <w:rFonts w:ascii="Garamond" w:eastAsia="Times New Roman" w:hAnsi="Garamond" w:cs="Times New Roman"/>
          <w:color w:val="000000"/>
          <w:kern w:val="0"/>
          <w14:ligatures w14:val="none"/>
        </w:rPr>
        <w:t xml:space="preserve"> offer at least 2 specific examples from each of your two chosen areas from the reading list.</w:t>
      </w:r>
    </w:p>
    <w:p w14:paraId="3FAD32CC" w14:textId="47D35C5A" w:rsidR="00725E74" w:rsidRPr="00725E74" w:rsidRDefault="00725E74" w:rsidP="00725E74">
      <w:pPr>
        <w:shd w:val="clear" w:color="auto" w:fill="FFFFFF"/>
        <w:spacing w:before="100" w:beforeAutospacing="1" w:after="100" w:afterAutospacing="1" w:line="240" w:lineRule="auto"/>
        <w:jc w:val="both"/>
        <w:rPr>
          <w:rFonts w:ascii="Garamond" w:eastAsia="Times New Roman" w:hAnsi="Garamond" w:cs="Times New Roman"/>
          <w:b/>
          <w:bCs/>
          <w:color w:val="000000"/>
          <w:kern w:val="0"/>
          <w14:ligatures w14:val="none"/>
        </w:rPr>
      </w:pPr>
      <w:r w:rsidRPr="00725E74">
        <w:rPr>
          <w:rFonts w:ascii="Garamond" w:eastAsia="Times New Roman" w:hAnsi="Garamond" w:cs="Times New Roman"/>
          <w:b/>
          <w:bCs/>
          <w:color w:val="000000"/>
          <w:kern w:val="0"/>
          <w14:ligatures w14:val="none"/>
        </w:rPr>
        <w:t xml:space="preserve">Question 2: </w:t>
      </w:r>
    </w:p>
    <w:p w14:paraId="09A5BE83" w14:textId="0E7528DC" w:rsidR="008B1642" w:rsidRPr="008B1642" w:rsidRDefault="008B1642" w:rsidP="00725E74">
      <w:pPr>
        <w:shd w:val="clear" w:color="auto" w:fill="FFFFFF"/>
        <w:spacing w:before="100" w:beforeAutospacing="1" w:after="100" w:afterAutospacing="1" w:line="240" w:lineRule="auto"/>
        <w:jc w:val="both"/>
        <w:rPr>
          <w:rFonts w:ascii="Garamond" w:eastAsia="Times New Roman" w:hAnsi="Garamond" w:cs="Times New Roman"/>
          <w:color w:val="000000"/>
          <w:kern w:val="0"/>
          <w14:ligatures w14:val="none"/>
        </w:rPr>
      </w:pPr>
      <w:r w:rsidRPr="008B1642">
        <w:rPr>
          <w:rFonts w:ascii="Garamond" w:eastAsia="Times New Roman" w:hAnsi="Garamond" w:cs="Times New Roman"/>
          <w:color w:val="000000"/>
          <w:kern w:val="0"/>
          <w14:ligatures w14:val="none"/>
        </w:rPr>
        <w:t xml:space="preserve">Power and inequality are central to the operation of law. Drawing on two areas from the reading list, explain how differential power dynamics affect legal outcomes. Be sure to offer specific evidence and </w:t>
      </w:r>
      <w:proofErr w:type="gramStart"/>
      <w:r w:rsidRPr="008B1642">
        <w:rPr>
          <w:rFonts w:ascii="Garamond" w:eastAsia="Times New Roman" w:hAnsi="Garamond" w:cs="Times New Roman"/>
          <w:color w:val="000000"/>
          <w:kern w:val="0"/>
          <w14:ligatures w14:val="none"/>
        </w:rPr>
        <w:t>examples, and</w:t>
      </w:r>
      <w:proofErr w:type="gramEnd"/>
      <w:r w:rsidRPr="008B1642">
        <w:rPr>
          <w:rFonts w:ascii="Garamond" w:eastAsia="Times New Roman" w:hAnsi="Garamond" w:cs="Times New Roman"/>
          <w:color w:val="000000"/>
          <w:kern w:val="0"/>
          <w14:ligatures w14:val="none"/>
        </w:rPr>
        <w:t xml:space="preserve"> offer at least 2 specific examples from each of your two chosen areas from the reading list. Ultimately, based on the empirical evidence, do you think the law works to uphold or ameliorate inequalities? Some questions you may want to consider in your answer include (but are not limited to):</w:t>
      </w:r>
    </w:p>
    <w:p w14:paraId="368A6FE6" w14:textId="77777777" w:rsidR="008B1642" w:rsidRPr="008B1642" w:rsidRDefault="008B1642" w:rsidP="00725E74">
      <w:pPr>
        <w:numPr>
          <w:ilvl w:val="1"/>
          <w:numId w:val="1"/>
        </w:numPr>
        <w:shd w:val="clear" w:color="auto" w:fill="FFFFFF"/>
        <w:spacing w:before="100" w:beforeAutospacing="1" w:after="100" w:afterAutospacing="1" w:line="240" w:lineRule="auto"/>
        <w:jc w:val="both"/>
        <w:rPr>
          <w:rFonts w:ascii="Garamond" w:eastAsia="Times New Roman" w:hAnsi="Garamond" w:cs="Times New Roman"/>
          <w:color w:val="000000"/>
          <w:kern w:val="0"/>
          <w14:ligatures w14:val="none"/>
        </w:rPr>
      </w:pPr>
      <w:r w:rsidRPr="008B1642">
        <w:rPr>
          <w:rFonts w:ascii="Garamond" w:eastAsia="Times New Roman" w:hAnsi="Garamond" w:cs="Times New Roman"/>
          <w:color w:val="000000"/>
          <w:kern w:val="0"/>
          <w14:ligatures w14:val="none"/>
        </w:rPr>
        <w:t>How does access to resources affect the realization of rights?</w:t>
      </w:r>
    </w:p>
    <w:p w14:paraId="77F388E4" w14:textId="77777777" w:rsidR="008B1642" w:rsidRPr="008B1642" w:rsidRDefault="008B1642" w:rsidP="00725E74">
      <w:pPr>
        <w:numPr>
          <w:ilvl w:val="1"/>
          <w:numId w:val="1"/>
        </w:numPr>
        <w:shd w:val="clear" w:color="auto" w:fill="FFFFFF"/>
        <w:spacing w:before="100" w:beforeAutospacing="1" w:after="100" w:afterAutospacing="1" w:line="240" w:lineRule="auto"/>
        <w:jc w:val="both"/>
        <w:rPr>
          <w:rFonts w:ascii="Garamond" w:eastAsia="Times New Roman" w:hAnsi="Garamond" w:cs="Times New Roman"/>
          <w:color w:val="000000"/>
          <w:kern w:val="0"/>
          <w14:ligatures w14:val="none"/>
        </w:rPr>
      </w:pPr>
      <w:r w:rsidRPr="008B1642">
        <w:rPr>
          <w:rFonts w:ascii="Garamond" w:eastAsia="Times New Roman" w:hAnsi="Garamond" w:cs="Times New Roman"/>
          <w:color w:val="000000"/>
          <w:kern w:val="0"/>
          <w14:ligatures w14:val="none"/>
        </w:rPr>
        <w:t>How does one's identity (or identities) affect their access to and/or treatment by the legal system?</w:t>
      </w:r>
    </w:p>
    <w:p w14:paraId="54D797D3" w14:textId="77777777" w:rsidR="008B1642" w:rsidRPr="008B1642" w:rsidRDefault="008B1642" w:rsidP="00725E74">
      <w:pPr>
        <w:numPr>
          <w:ilvl w:val="1"/>
          <w:numId w:val="1"/>
        </w:numPr>
        <w:shd w:val="clear" w:color="auto" w:fill="FFFFFF"/>
        <w:spacing w:before="100" w:beforeAutospacing="1" w:after="100" w:afterAutospacing="1" w:line="240" w:lineRule="auto"/>
        <w:jc w:val="both"/>
        <w:rPr>
          <w:rFonts w:ascii="Garamond" w:eastAsia="Times New Roman" w:hAnsi="Garamond" w:cs="Times New Roman"/>
          <w:color w:val="000000"/>
          <w:kern w:val="0"/>
          <w14:ligatures w14:val="none"/>
        </w:rPr>
      </w:pPr>
      <w:r w:rsidRPr="008B1642">
        <w:rPr>
          <w:rFonts w:ascii="Garamond" w:eastAsia="Times New Roman" w:hAnsi="Garamond" w:cs="Times New Roman"/>
          <w:color w:val="000000"/>
          <w:kern w:val="0"/>
          <w14:ligatures w14:val="none"/>
        </w:rPr>
        <w:t>How does one's social position affect how they understand issues as legal (or not) and therefore the actions they take to resolve those issues?</w:t>
      </w:r>
    </w:p>
    <w:p w14:paraId="365D6A57" w14:textId="599DF374" w:rsidR="008B1642" w:rsidRDefault="008B1642" w:rsidP="00725E74">
      <w:pPr>
        <w:spacing w:line="240" w:lineRule="auto"/>
        <w:jc w:val="both"/>
        <w:rPr>
          <w:rFonts w:ascii="Garamond" w:eastAsia="Times New Roman" w:hAnsi="Garamond" w:cs="Times New Roman"/>
          <w:color w:val="000000"/>
          <w:kern w:val="0"/>
          <w14:ligatures w14:val="none"/>
        </w:rPr>
      </w:pPr>
    </w:p>
    <w:p w14:paraId="12DF8F97" w14:textId="77777777" w:rsidR="003E51F4" w:rsidRPr="00725E74" w:rsidRDefault="003E51F4" w:rsidP="00725E74">
      <w:pPr>
        <w:spacing w:line="240" w:lineRule="auto"/>
        <w:jc w:val="both"/>
        <w:rPr>
          <w:rFonts w:ascii="Garamond" w:hAnsi="Garamond"/>
        </w:rPr>
      </w:pPr>
    </w:p>
    <w:p w14:paraId="75C55784" w14:textId="77777777" w:rsidR="00725E74" w:rsidRDefault="00725E74" w:rsidP="00725E74">
      <w:pPr>
        <w:spacing w:after="0" w:line="240" w:lineRule="auto"/>
        <w:jc w:val="both"/>
        <w:rPr>
          <w:rFonts w:ascii="Garamond" w:eastAsia="Times New Roman" w:hAnsi="Garamond" w:cs="Times New Roman"/>
          <w:b/>
          <w:bCs/>
        </w:rPr>
      </w:pPr>
    </w:p>
    <w:p w14:paraId="64B85435" w14:textId="77777777" w:rsidR="00725E74" w:rsidRDefault="00725E74" w:rsidP="00725E74">
      <w:pPr>
        <w:spacing w:after="0" w:line="240" w:lineRule="auto"/>
        <w:jc w:val="both"/>
        <w:rPr>
          <w:rFonts w:ascii="Garamond" w:eastAsia="Times New Roman" w:hAnsi="Garamond" w:cs="Times New Roman"/>
          <w:b/>
          <w:bCs/>
        </w:rPr>
      </w:pPr>
    </w:p>
    <w:p w14:paraId="63BC80FE" w14:textId="77777777" w:rsidR="00725E74" w:rsidRDefault="00725E74" w:rsidP="00725E74">
      <w:pPr>
        <w:spacing w:after="0" w:line="240" w:lineRule="auto"/>
        <w:jc w:val="both"/>
        <w:rPr>
          <w:rFonts w:ascii="Garamond" w:eastAsia="Times New Roman" w:hAnsi="Garamond" w:cs="Times New Roman"/>
          <w:b/>
          <w:bCs/>
        </w:rPr>
      </w:pPr>
    </w:p>
    <w:p w14:paraId="0986D5C4" w14:textId="77777777" w:rsidR="00725E74" w:rsidRDefault="00725E74" w:rsidP="00725E74">
      <w:pPr>
        <w:spacing w:after="0" w:line="240" w:lineRule="auto"/>
        <w:jc w:val="both"/>
        <w:rPr>
          <w:rFonts w:ascii="Garamond" w:eastAsia="Times New Roman" w:hAnsi="Garamond" w:cs="Times New Roman"/>
          <w:b/>
          <w:bCs/>
        </w:rPr>
      </w:pPr>
    </w:p>
    <w:p w14:paraId="27DDDB88" w14:textId="77777777" w:rsidR="00725E74" w:rsidRDefault="00725E74" w:rsidP="00725E74">
      <w:pPr>
        <w:spacing w:after="0" w:line="240" w:lineRule="auto"/>
        <w:jc w:val="both"/>
        <w:rPr>
          <w:rFonts w:ascii="Garamond" w:eastAsia="Times New Roman" w:hAnsi="Garamond" w:cs="Times New Roman"/>
          <w:b/>
          <w:bCs/>
        </w:rPr>
      </w:pPr>
    </w:p>
    <w:p w14:paraId="107EC1A0" w14:textId="3530356A" w:rsidR="00725E74" w:rsidRPr="00725E74" w:rsidRDefault="00725E74" w:rsidP="00725E74">
      <w:pPr>
        <w:pStyle w:val="ListParagraph"/>
        <w:numPr>
          <w:ilvl w:val="0"/>
          <w:numId w:val="1"/>
        </w:numPr>
        <w:spacing w:after="0" w:line="240" w:lineRule="auto"/>
        <w:jc w:val="both"/>
        <w:rPr>
          <w:rFonts w:ascii="Garamond" w:eastAsia="Times New Roman" w:hAnsi="Garamond" w:cs="Times New Roman"/>
          <w:b/>
          <w:bCs/>
        </w:rPr>
      </w:pPr>
      <w:r w:rsidRPr="00725E74">
        <w:rPr>
          <w:rFonts w:ascii="Garamond" w:eastAsia="Times New Roman" w:hAnsi="Garamond" w:cs="Times New Roman"/>
          <w:b/>
          <w:bCs/>
        </w:rPr>
        <w:lastRenderedPageBreak/>
        <w:t>Choose and answer one of the following questions:</w:t>
      </w:r>
    </w:p>
    <w:p w14:paraId="33A9368F" w14:textId="77777777" w:rsidR="00725E74" w:rsidRPr="00725E74" w:rsidRDefault="00725E74" w:rsidP="00725E74">
      <w:pPr>
        <w:pStyle w:val="NoSpacing"/>
        <w:ind w:left="360"/>
        <w:jc w:val="both"/>
        <w:rPr>
          <w:rFonts w:ascii="Garamond" w:hAnsi="Garamond"/>
        </w:rPr>
      </w:pPr>
    </w:p>
    <w:p w14:paraId="66E74D8C" w14:textId="77777777" w:rsidR="00725E74" w:rsidRPr="00725E74" w:rsidRDefault="00725E74" w:rsidP="00725E74">
      <w:pPr>
        <w:pStyle w:val="NoSpacing"/>
        <w:jc w:val="both"/>
        <w:rPr>
          <w:rFonts w:ascii="Garamond" w:hAnsi="Garamond"/>
          <w:b/>
          <w:bCs/>
        </w:rPr>
      </w:pPr>
      <w:r w:rsidRPr="00725E74">
        <w:rPr>
          <w:rFonts w:ascii="Garamond" w:hAnsi="Garamond"/>
          <w:b/>
          <w:bCs/>
        </w:rPr>
        <w:t>Question 1:</w:t>
      </w:r>
    </w:p>
    <w:p w14:paraId="16A84DB6" w14:textId="76CE6435" w:rsidR="00725E74" w:rsidRPr="00725E74" w:rsidRDefault="00725E74" w:rsidP="00725E74">
      <w:pPr>
        <w:pStyle w:val="NoSpacing"/>
        <w:jc w:val="both"/>
        <w:rPr>
          <w:rFonts w:ascii="Garamond" w:hAnsi="Garamond"/>
        </w:rPr>
      </w:pPr>
      <w:r w:rsidRPr="00725E74">
        <w:rPr>
          <w:rFonts w:ascii="Garamond" w:hAnsi="Garamond"/>
        </w:rPr>
        <w:br/>
        <w:t>A significant body of law and society scholarship, including many of the texts on the reading list, has interrogated the intimate relationship between law, state power, and violence. These approaches emphasize how legal and institutional structures sustain regimes of domination and harm through processes such as exclusion, subordination, criminalization, and the material restructuring of state institutions, both domestically and globally.</w:t>
      </w:r>
    </w:p>
    <w:p w14:paraId="35FAE3C6" w14:textId="77777777" w:rsidR="00725E74" w:rsidRPr="00725E74" w:rsidRDefault="00725E74" w:rsidP="00725E74">
      <w:pPr>
        <w:pStyle w:val="NoSpacing"/>
        <w:jc w:val="both"/>
        <w:rPr>
          <w:rFonts w:ascii="Garamond" w:hAnsi="Garamond"/>
        </w:rPr>
      </w:pPr>
    </w:p>
    <w:p w14:paraId="797C1EE7" w14:textId="3A7502D8" w:rsidR="00725E74" w:rsidRPr="00725E74" w:rsidRDefault="00725E74" w:rsidP="00725E74">
      <w:pPr>
        <w:pStyle w:val="NoSpacing"/>
        <w:jc w:val="both"/>
        <w:rPr>
          <w:rFonts w:ascii="Garamond" w:hAnsi="Garamond"/>
        </w:rPr>
      </w:pPr>
      <w:r w:rsidRPr="00725E74">
        <w:rPr>
          <w:rFonts w:ascii="Garamond" w:hAnsi="Garamond"/>
        </w:rPr>
        <w:t xml:space="preserve">Drawing on the readings, identify and critically examine at least three key areas in which scholars explore the entanglements of law, state power, and violence (e.g., colonialism, imperialism, value extraction, racialization, gendered governance, migration control, illiberalism). Explain how scholars conceptualize the relationship between law and violence in these specific </w:t>
      </w:r>
      <w:proofErr w:type="gramStart"/>
      <w:r w:rsidRPr="00725E74">
        <w:rPr>
          <w:rFonts w:ascii="Garamond" w:hAnsi="Garamond"/>
        </w:rPr>
        <w:t>areas, and</w:t>
      </w:r>
      <w:proofErr w:type="gramEnd"/>
      <w:r w:rsidRPr="00725E74">
        <w:rPr>
          <w:rFonts w:ascii="Garamond" w:hAnsi="Garamond"/>
        </w:rPr>
        <w:t xml:space="preserve"> analyze both the continuities and contradictions across their frameworks. Your answer should emphasize how law is used to enforce, naturalize, or conceal state and institutional violence.</w:t>
      </w:r>
    </w:p>
    <w:p w14:paraId="704D9307" w14:textId="77777777" w:rsidR="00725E74" w:rsidRPr="00725E74" w:rsidRDefault="00725E74" w:rsidP="00725E74">
      <w:pPr>
        <w:pStyle w:val="NoSpacing"/>
        <w:jc w:val="both"/>
        <w:rPr>
          <w:rFonts w:ascii="Garamond" w:hAnsi="Garamond"/>
        </w:rPr>
      </w:pPr>
    </w:p>
    <w:p w14:paraId="5E29B63D" w14:textId="77777777" w:rsidR="00725E74" w:rsidRPr="00725E74" w:rsidRDefault="00725E74" w:rsidP="00725E74">
      <w:pPr>
        <w:pStyle w:val="NoSpacing"/>
        <w:jc w:val="both"/>
        <w:rPr>
          <w:rFonts w:ascii="Garamond" w:hAnsi="Garamond"/>
          <w:b/>
          <w:bCs/>
        </w:rPr>
      </w:pPr>
      <w:r w:rsidRPr="00725E74">
        <w:rPr>
          <w:rFonts w:ascii="Garamond" w:hAnsi="Garamond"/>
          <w:b/>
          <w:bCs/>
        </w:rPr>
        <w:t>Question 2:</w:t>
      </w:r>
    </w:p>
    <w:p w14:paraId="3910CC5A" w14:textId="4ECB091E" w:rsidR="00725E74" w:rsidRPr="00725E74" w:rsidRDefault="00725E74" w:rsidP="00725E74">
      <w:pPr>
        <w:pStyle w:val="NoSpacing"/>
        <w:jc w:val="both"/>
        <w:rPr>
          <w:rFonts w:ascii="Garamond" w:hAnsi="Garamond"/>
        </w:rPr>
      </w:pPr>
      <w:r w:rsidRPr="00725E74">
        <w:rPr>
          <w:rFonts w:ascii="Garamond" w:hAnsi="Garamond"/>
        </w:rPr>
        <w:t xml:space="preserve"> </w:t>
      </w:r>
      <w:r w:rsidRPr="00725E74">
        <w:rPr>
          <w:rFonts w:ascii="Garamond" w:hAnsi="Garamond"/>
        </w:rPr>
        <w:br/>
        <w:t>In contrast to views of law as a purely top-down structure, a rich body of law and society scholarship examines how people engage, reinterpret, and mobilize the law in their everyday lives. These approaches focus on how individuals and communities navigate legal systems—ranging from informal disputes to formal legal processes—to assert rights, contest injustices, and construct alternative visions of justice.</w:t>
      </w:r>
    </w:p>
    <w:p w14:paraId="1D80BD16" w14:textId="77777777" w:rsidR="00725E74" w:rsidRPr="00725E74" w:rsidRDefault="00725E74" w:rsidP="00725E74">
      <w:pPr>
        <w:pStyle w:val="NoSpacing"/>
        <w:jc w:val="both"/>
        <w:rPr>
          <w:rFonts w:ascii="Garamond" w:hAnsi="Garamond"/>
        </w:rPr>
      </w:pPr>
      <w:r w:rsidRPr="00725E74">
        <w:rPr>
          <w:rFonts w:ascii="Garamond" w:hAnsi="Garamond"/>
        </w:rPr>
        <w:t xml:space="preserve"> </w:t>
      </w:r>
    </w:p>
    <w:p w14:paraId="721D61BC" w14:textId="4595C3AE" w:rsidR="003E050B" w:rsidRDefault="00725E74" w:rsidP="00725E74">
      <w:pPr>
        <w:pStyle w:val="NoSpacing"/>
        <w:jc w:val="both"/>
        <w:rPr>
          <w:rFonts w:ascii="Garamond" w:hAnsi="Garamond"/>
        </w:rPr>
      </w:pPr>
      <w:r w:rsidRPr="00725E74">
        <w:rPr>
          <w:rFonts w:ascii="Garamond" w:hAnsi="Garamond"/>
        </w:rPr>
        <w:t>Drawing on the reading list, analyze how people mobilized the law through practices such as litigation, cause lawyering, or transnational legal mobilization. Focus primarily on how legal engagement can serve as a form of resistance or political practice. Be sure to discuss at least three areas of legal mobilizations and highlight both the potential and the limitations of these uses of the law in effecting social change.</w:t>
      </w:r>
    </w:p>
    <w:p w14:paraId="465758A9" w14:textId="3CEEF0B6" w:rsidR="003018CE" w:rsidRDefault="003018CE">
      <w:pPr>
        <w:rPr>
          <w:rFonts w:ascii="Garamond" w:hAnsi="Garamond"/>
        </w:rPr>
      </w:pPr>
      <w:r>
        <w:rPr>
          <w:rFonts w:ascii="Garamond" w:hAnsi="Garamond"/>
        </w:rPr>
        <w:br w:type="page"/>
      </w:r>
    </w:p>
    <w:p w14:paraId="359539EE" w14:textId="77777777" w:rsidR="00735E58" w:rsidRDefault="00735E58" w:rsidP="00725E74">
      <w:pPr>
        <w:pStyle w:val="NoSpacing"/>
        <w:jc w:val="both"/>
        <w:rPr>
          <w:rFonts w:ascii="Garamond" w:hAnsi="Garamond"/>
        </w:rPr>
      </w:pPr>
    </w:p>
    <w:p w14:paraId="1C428606" w14:textId="77777777" w:rsidR="00735E58" w:rsidRPr="00725E74" w:rsidRDefault="00735E58" w:rsidP="00735E58">
      <w:pPr>
        <w:pStyle w:val="ListParagraph"/>
        <w:numPr>
          <w:ilvl w:val="0"/>
          <w:numId w:val="8"/>
        </w:numPr>
        <w:spacing w:after="0" w:line="240" w:lineRule="auto"/>
        <w:jc w:val="both"/>
        <w:rPr>
          <w:rFonts w:ascii="Garamond" w:eastAsia="Times New Roman" w:hAnsi="Garamond" w:cs="Times New Roman"/>
          <w:b/>
          <w:bCs/>
        </w:rPr>
      </w:pPr>
      <w:r w:rsidRPr="00725E74">
        <w:rPr>
          <w:rFonts w:ascii="Garamond" w:eastAsia="Times New Roman" w:hAnsi="Garamond" w:cs="Times New Roman"/>
          <w:b/>
          <w:bCs/>
        </w:rPr>
        <w:t>Choose and answer one of the following questions:</w:t>
      </w:r>
    </w:p>
    <w:p w14:paraId="3F1C4C3A" w14:textId="77777777" w:rsidR="00735E58" w:rsidRPr="00725E74" w:rsidRDefault="00735E58" w:rsidP="00735E58">
      <w:pPr>
        <w:pStyle w:val="NoSpacing"/>
        <w:ind w:left="360"/>
        <w:jc w:val="both"/>
        <w:rPr>
          <w:rFonts w:ascii="Garamond" w:hAnsi="Garamond"/>
        </w:rPr>
      </w:pPr>
    </w:p>
    <w:p w14:paraId="3BA521D1" w14:textId="77777777" w:rsidR="00735E58" w:rsidRPr="00725E74" w:rsidRDefault="00735E58" w:rsidP="00735E58">
      <w:pPr>
        <w:pStyle w:val="NoSpacing"/>
        <w:jc w:val="both"/>
        <w:rPr>
          <w:rFonts w:ascii="Garamond" w:hAnsi="Garamond"/>
          <w:b/>
          <w:bCs/>
        </w:rPr>
      </w:pPr>
      <w:r w:rsidRPr="00725E74">
        <w:rPr>
          <w:rFonts w:ascii="Garamond" w:hAnsi="Garamond"/>
          <w:b/>
          <w:bCs/>
        </w:rPr>
        <w:t>Question 1:</w:t>
      </w:r>
    </w:p>
    <w:p w14:paraId="6652D8B6" w14:textId="77777777" w:rsidR="00735E58" w:rsidRDefault="00735E58" w:rsidP="00725E74">
      <w:pPr>
        <w:pStyle w:val="NoSpacing"/>
        <w:jc w:val="both"/>
        <w:rPr>
          <w:rFonts w:ascii="Garamond" w:hAnsi="Garamond"/>
        </w:rPr>
      </w:pPr>
    </w:p>
    <w:p w14:paraId="527FF7EC" w14:textId="77777777" w:rsidR="00735E58" w:rsidRDefault="00735E58" w:rsidP="00735E58">
      <w:pPr>
        <w:spacing w:after="0" w:line="240" w:lineRule="auto"/>
        <w:rPr>
          <w:rFonts w:ascii="Garamond" w:eastAsia="Times New Roman" w:hAnsi="Garamond" w:cs="Times New Roman"/>
          <w:color w:val="212121"/>
          <w:kern w:val="0"/>
          <w14:ligatures w14:val="none"/>
        </w:rPr>
      </w:pPr>
      <w:r w:rsidRPr="00735E58">
        <w:rPr>
          <w:rFonts w:ascii="Garamond" w:eastAsia="Times New Roman" w:hAnsi="Garamond" w:cs="Times New Roman"/>
          <w:color w:val="212121"/>
          <w:kern w:val="0"/>
          <w14:ligatures w14:val="none"/>
        </w:rPr>
        <w:t>The legal profession is both a driver and a reflection of broader social stratification. How does stratification within the legal profession (e.g., by race, class, gender, educational pedigree, or firm type) both reflect and reproduce inequality in society more broadly. What are the implications of the stratified structure of the legal profession for access to legal representation and justice for marginalized communities?</w:t>
      </w:r>
    </w:p>
    <w:p w14:paraId="5EA77C18" w14:textId="77777777" w:rsidR="00735E58" w:rsidRDefault="00735E58" w:rsidP="00735E58">
      <w:pPr>
        <w:spacing w:after="0" w:line="240" w:lineRule="auto"/>
        <w:rPr>
          <w:rFonts w:ascii="Garamond" w:eastAsia="Times New Roman" w:hAnsi="Garamond" w:cs="Times New Roman"/>
          <w:color w:val="212121"/>
          <w:kern w:val="0"/>
          <w14:ligatures w14:val="none"/>
        </w:rPr>
      </w:pPr>
    </w:p>
    <w:p w14:paraId="7B638BD5" w14:textId="04837C6B" w:rsidR="00735E58" w:rsidRPr="00735E58" w:rsidRDefault="00735E58" w:rsidP="00735E58">
      <w:pPr>
        <w:spacing w:after="0" w:line="240" w:lineRule="auto"/>
        <w:rPr>
          <w:rFonts w:ascii="Garamond" w:eastAsia="Times New Roman" w:hAnsi="Garamond" w:cs="Times New Roman"/>
          <w:b/>
          <w:bCs/>
          <w:color w:val="212121"/>
          <w:kern w:val="0"/>
          <w:sz w:val="20"/>
          <w:szCs w:val="20"/>
          <w14:ligatures w14:val="none"/>
        </w:rPr>
      </w:pPr>
      <w:r>
        <w:rPr>
          <w:rFonts w:ascii="Garamond" w:eastAsia="Times New Roman" w:hAnsi="Garamond" w:cs="Times New Roman"/>
          <w:b/>
          <w:bCs/>
          <w:color w:val="212121"/>
          <w:kern w:val="0"/>
          <w14:ligatures w14:val="none"/>
        </w:rPr>
        <w:t>Question 2:</w:t>
      </w:r>
    </w:p>
    <w:p w14:paraId="1257078E" w14:textId="77777777" w:rsidR="00735E58" w:rsidRPr="00735E58" w:rsidRDefault="00735E58" w:rsidP="00735E58">
      <w:pPr>
        <w:spacing w:after="0" w:line="240" w:lineRule="auto"/>
        <w:rPr>
          <w:rFonts w:ascii="Garamond" w:eastAsia="Times New Roman" w:hAnsi="Garamond" w:cs="Times New Roman"/>
          <w:color w:val="212121"/>
          <w:kern w:val="0"/>
          <w:sz w:val="20"/>
          <w:szCs w:val="20"/>
          <w14:ligatures w14:val="none"/>
        </w:rPr>
      </w:pPr>
      <w:r w:rsidRPr="00735E58">
        <w:rPr>
          <w:rFonts w:ascii="Garamond" w:eastAsia="Times New Roman" w:hAnsi="Garamond" w:cs="Times New Roman"/>
          <w:color w:val="212121"/>
          <w:kern w:val="0"/>
          <w14:ligatures w14:val="none"/>
        </w:rPr>
        <w:t> </w:t>
      </w:r>
    </w:p>
    <w:p w14:paraId="2FC99EDD" w14:textId="77777777" w:rsidR="00735E58" w:rsidRPr="00735E58" w:rsidRDefault="00735E58" w:rsidP="00735E58">
      <w:pPr>
        <w:spacing w:after="0" w:line="240" w:lineRule="auto"/>
        <w:rPr>
          <w:rFonts w:ascii="Garamond" w:eastAsia="Times New Roman" w:hAnsi="Garamond" w:cs="Times New Roman"/>
          <w:color w:val="212121"/>
          <w:kern w:val="0"/>
          <w:sz w:val="20"/>
          <w:szCs w:val="20"/>
          <w14:ligatures w14:val="none"/>
        </w:rPr>
      </w:pPr>
      <w:r w:rsidRPr="00735E58">
        <w:rPr>
          <w:rFonts w:ascii="Garamond" w:eastAsia="Times New Roman" w:hAnsi="Garamond" w:cs="Times New Roman"/>
          <w:color w:val="212121"/>
          <w:kern w:val="0"/>
          <w14:ligatures w14:val="none"/>
        </w:rPr>
        <w:t>Audre Lorde famously said: “The master’s tools will never dismantle the master’s house” – an observation often made in the literature on legal mobilization. Sociologists and legal scholars have long debated the potential of civil litigation to serve as a mechanism for social change. Drawing on empirical and theoretical literature, analyze the possibilities and limitations of using civil litigation as a strategy for advancing equity, justice, or structural reform. Under what conditions does litigation succeed or fail to produce broader social transformation? Consider the roles of legal actors, institutions, and the political environment in shaping these outcomes.</w:t>
      </w:r>
    </w:p>
    <w:p w14:paraId="7561E97D" w14:textId="77777777" w:rsidR="00735E58" w:rsidRPr="00735E58" w:rsidRDefault="00735E58" w:rsidP="00725E74">
      <w:pPr>
        <w:pStyle w:val="NoSpacing"/>
        <w:jc w:val="both"/>
        <w:rPr>
          <w:rFonts w:ascii="Garamond" w:hAnsi="Garamond"/>
        </w:rPr>
      </w:pPr>
    </w:p>
    <w:sectPr w:rsidR="00735E58" w:rsidRPr="00735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2A00"/>
    <w:multiLevelType w:val="hybridMultilevel"/>
    <w:tmpl w:val="C54C8EF6"/>
    <w:lvl w:ilvl="0" w:tplc="5956AC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0B40B9"/>
    <w:multiLevelType w:val="multilevel"/>
    <w:tmpl w:val="8B18A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6E192A"/>
    <w:multiLevelType w:val="hybridMultilevel"/>
    <w:tmpl w:val="64161F14"/>
    <w:lvl w:ilvl="0" w:tplc="83A028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6242A"/>
    <w:multiLevelType w:val="multilevel"/>
    <w:tmpl w:val="8B18A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140DA4"/>
    <w:multiLevelType w:val="multilevel"/>
    <w:tmpl w:val="DD606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031AD0"/>
    <w:multiLevelType w:val="hybridMultilevel"/>
    <w:tmpl w:val="FAFE8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9A420B"/>
    <w:multiLevelType w:val="hybridMultilevel"/>
    <w:tmpl w:val="5B347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F910BA"/>
    <w:multiLevelType w:val="multilevel"/>
    <w:tmpl w:val="D3D2A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542327">
    <w:abstractNumId w:val="1"/>
  </w:num>
  <w:num w:numId="2" w16cid:durableId="1648633560">
    <w:abstractNumId w:val="2"/>
  </w:num>
  <w:num w:numId="3" w16cid:durableId="37825356">
    <w:abstractNumId w:val="0"/>
  </w:num>
  <w:num w:numId="4" w16cid:durableId="2106420185">
    <w:abstractNumId w:val="6"/>
  </w:num>
  <w:num w:numId="5" w16cid:durableId="1230002054">
    <w:abstractNumId w:val="5"/>
  </w:num>
  <w:num w:numId="6" w16cid:durableId="362098797">
    <w:abstractNumId w:val="4"/>
  </w:num>
  <w:num w:numId="7" w16cid:durableId="1725105386">
    <w:abstractNumId w:val="7"/>
  </w:num>
  <w:num w:numId="8" w16cid:durableId="431317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42"/>
    <w:rsid w:val="003018CE"/>
    <w:rsid w:val="003E050B"/>
    <w:rsid w:val="003E51F4"/>
    <w:rsid w:val="004576ED"/>
    <w:rsid w:val="00725E74"/>
    <w:rsid w:val="00735E58"/>
    <w:rsid w:val="008B1642"/>
    <w:rsid w:val="00CB070A"/>
    <w:rsid w:val="00D3687A"/>
    <w:rsid w:val="00DC0C83"/>
    <w:rsid w:val="00DD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A8FE"/>
  <w15:chartTrackingRefBased/>
  <w15:docId w15:val="{B8EAA64C-3F64-F445-B4D2-3934D500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642"/>
    <w:rPr>
      <w:rFonts w:eastAsiaTheme="majorEastAsia" w:cstheme="majorBidi"/>
      <w:color w:val="272727" w:themeColor="text1" w:themeTint="D8"/>
    </w:rPr>
  </w:style>
  <w:style w:type="paragraph" w:styleId="Title">
    <w:name w:val="Title"/>
    <w:basedOn w:val="Normal"/>
    <w:next w:val="Normal"/>
    <w:link w:val="TitleChar"/>
    <w:uiPriority w:val="10"/>
    <w:qFormat/>
    <w:rsid w:val="008B1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642"/>
    <w:pPr>
      <w:spacing w:before="160"/>
      <w:jc w:val="center"/>
    </w:pPr>
    <w:rPr>
      <w:i/>
      <w:iCs/>
      <w:color w:val="404040" w:themeColor="text1" w:themeTint="BF"/>
    </w:rPr>
  </w:style>
  <w:style w:type="character" w:customStyle="1" w:styleId="QuoteChar">
    <w:name w:val="Quote Char"/>
    <w:basedOn w:val="DefaultParagraphFont"/>
    <w:link w:val="Quote"/>
    <w:uiPriority w:val="29"/>
    <w:rsid w:val="008B1642"/>
    <w:rPr>
      <w:i/>
      <w:iCs/>
      <w:color w:val="404040" w:themeColor="text1" w:themeTint="BF"/>
    </w:rPr>
  </w:style>
  <w:style w:type="paragraph" w:styleId="ListParagraph">
    <w:name w:val="List Paragraph"/>
    <w:basedOn w:val="Normal"/>
    <w:uiPriority w:val="34"/>
    <w:qFormat/>
    <w:rsid w:val="008B1642"/>
    <w:pPr>
      <w:ind w:left="720"/>
      <w:contextualSpacing/>
    </w:pPr>
  </w:style>
  <w:style w:type="character" w:styleId="IntenseEmphasis">
    <w:name w:val="Intense Emphasis"/>
    <w:basedOn w:val="DefaultParagraphFont"/>
    <w:uiPriority w:val="21"/>
    <w:qFormat/>
    <w:rsid w:val="008B1642"/>
    <w:rPr>
      <w:i/>
      <w:iCs/>
      <w:color w:val="0F4761" w:themeColor="accent1" w:themeShade="BF"/>
    </w:rPr>
  </w:style>
  <w:style w:type="paragraph" w:styleId="IntenseQuote">
    <w:name w:val="Intense Quote"/>
    <w:basedOn w:val="Normal"/>
    <w:next w:val="Normal"/>
    <w:link w:val="IntenseQuoteChar"/>
    <w:uiPriority w:val="30"/>
    <w:qFormat/>
    <w:rsid w:val="008B1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642"/>
    <w:rPr>
      <w:i/>
      <w:iCs/>
      <w:color w:val="0F4761" w:themeColor="accent1" w:themeShade="BF"/>
    </w:rPr>
  </w:style>
  <w:style w:type="character" w:styleId="IntenseReference">
    <w:name w:val="Intense Reference"/>
    <w:basedOn w:val="DefaultParagraphFont"/>
    <w:uiPriority w:val="32"/>
    <w:qFormat/>
    <w:rsid w:val="008B1642"/>
    <w:rPr>
      <w:b/>
      <w:bCs/>
      <w:smallCaps/>
      <w:color w:val="0F4761" w:themeColor="accent1" w:themeShade="BF"/>
      <w:spacing w:val="5"/>
    </w:rPr>
  </w:style>
  <w:style w:type="paragraph" w:styleId="NoSpacing">
    <w:name w:val="No Spacing"/>
    <w:uiPriority w:val="1"/>
    <w:qFormat/>
    <w:rsid w:val="00725E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524709">
      <w:bodyDiv w:val="1"/>
      <w:marLeft w:val="0"/>
      <w:marRight w:val="0"/>
      <w:marTop w:val="0"/>
      <w:marBottom w:val="0"/>
      <w:divBdr>
        <w:top w:val="none" w:sz="0" w:space="0" w:color="auto"/>
        <w:left w:val="none" w:sz="0" w:space="0" w:color="auto"/>
        <w:bottom w:val="none" w:sz="0" w:space="0" w:color="auto"/>
        <w:right w:val="none" w:sz="0" w:space="0" w:color="auto"/>
      </w:divBdr>
    </w:div>
    <w:div w:id="1337532399">
      <w:bodyDiv w:val="1"/>
      <w:marLeft w:val="0"/>
      <w:marRight w:val="0"/>
      <w:marTop w:val="0"/>
      <w:marBottom w:val="0"/>
      <w:divBdr>
        <w:top w:val="none" w:sz="0" w:space="0" w:color="auto"/>
        <w:left w:val="none" w:sz="0" w:space="0" w:color="auto"/>
        <w:bottom w:val="none" w:sz="0" w:space="0" w:color="auto"/>
        <w:right w:val="none" w:sz="0" w:space="0" w:color="auto"/>
      </w:divBdr>
      <w:divsChild>
        <w:div w:id="985554113">
          <w:marLeft w:val="0"/>
          <w:marRight w:val="0"/>
          <w:marTop w:val="0"/>
          <w:marBottom w:val="0"/>
          <w:divBdr>
            <w:top w:val="none" w:sz="0" w:space="0" w:color="auto"/>
            <w:left w:val="none" w:sz="0" w:space="0" w:color="auto"/>
            <w:bottom w:val="none" w:sz="0" w:space="0" w:color="auto"/>
            <w:right w:val="none" w:sz="0" w:space="0" w:color="auto"/>
          </w:divBdr>
        </w:div>
        <w:div w:id="2099936407">
          <w:marLeft w:val="0"/>
          <w:marRight w:val="0"/>
          <w:marTop w:val="0"/>
          <w:marBottom w:val="0"/>
          <w:divBdr>
            <w:top w:val="none" w:sz="0" w:space="0" w:color="auto"/>
            <w:left w:val="none" w:sz="0" w:space="0" w:color="auto"/>
            <w:bottom w:val="none" w:sz="0" w:space="0" w:color="auto"/>
            <w:right w:val="none" w:sz="0" w:space="0" w:color="auto"/>
          </w:divBdr>
        </w:div>
        <w:div w:id="1304577945">
          <w:marLeft w:val="0"/>
          <w:marRight w:val="0"/>
          <w:marTop w:val="0"/>
          <w:marBottom w:val="0"/>
          <w:divBdr>
            <w:top w:val="none" w:sz="0" w:space="0" w:color="auto"/>
            <w:left w:val="none" w:sz="0" w:space="0" w:color="auto"/>
            <w:bottom w:val="none" w:sz="0" w:space="0" w:color="auto"/>
            <w:right w:val="none" w:sz="0" w:space="0" w:color="auto"/>
          </w:divBdr>
        </w:div>
        <w:div w:id="1618215916">
          <w:marLeft w:val="0"/>
          <w:marRight w:val="0"/>
          <w:marTop w:val="0"/>
          <w:marBottom w:val="0"/>
          <w:divBdr>
            <w:top w:val="none" w:sz="0" w:space="0" w:color="auto"/>
            <w:left w:val="none" w:sz="0" w:space="0" w:color="auto"/>
            <w:bottom w:val="none" w:sz="0" w:space="0" w:color="auto"/>
            <w:right w:val="none" w:sz="0" w:space="0" w:color="auto"/>
          </w:divBdr>
        </w:div>
        <w:div w:id="283343815">
          <w:marLeft w:val="0"/>
          <w:marRight w:val="0"/>
          <w:marTop w:val="0"/>
          <w:marBottom w:val="0"/>
          <w:divBdr>
            <w:top w:val="none" w:sz="0" w:space="0" w:color="auto"/>
            <w:left w:val="none" w:sz="0" w:space="0" w:color="auto"/>
            <w:bottom w:val="none" w:sz="0" w:space="0" w:color="auto"/>
            <w:right w:val="none" w:sz="0" w:space="0" w:color="auto"/>
          </w:divBdr>
        </w:div>
        <w:div w:id="109039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Atiles Osoria, Jose</dc:creator>
  <cp:keywords/>
  <dc:description/>
  <cp:lastModifiedBy>Atiles Osoria, Jose</cp:lastModifiedBy>
  <cp:revision>4</cp:revision>
  <dcterms:created xsi:type="dcterms:W3CDTF">2025-06-27T20:51:00Z</dcterms:created>
  <dcterms:modified xsi:type="dcterms:W3CDTF">2025-06-27T21:12:00Z</dcterms:modified>
</cp:coreProperties>
</file>